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1114425" cx="952500"/>
            <wp:wrapSquare wrapText="bothSides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114425" cx="95250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Расширенный семинар на уровне группы стран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Наращивание потенциала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Практическое занятие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День 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ab/>
      </w:r>
      <w:r w:rsidRPr="00000000" w:rsidR="00000000" w:rsidDel="00000000">
        <w:rPr>
          <w:rFonts w:cs="Calibri" w:hAnsi="Calibri" w:eastAsia="Calibri" w:ascii="Calibri"/>
          <w:rtl w:val="0"/>
        </w:rPr>
        <w:t xml:space="preserve">Практическое занятие позволит участникам всесторонне ознакомиться со Стратегией комплексного наращивания потенциала (КНП) для ГЭФ-5 и создать основу для проекта по наращиванию потенциала.</w:t>
      </w:r>
    </w:p>
    <w:p w:rsidP="00000000" w:rsidRPr="00000000" w:rsidR="00000000" w:rsidDel="00000000" w:rsidRDefault="00000000">
      <w:pPr>
        <w:spacing w:lineRule="auto" w:after="20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ab/>
        <w:t xml:space="preserve">Цели: 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улучшение понимания участниками Стратегии КНП ГЭФ-5 посредством использования практического примера;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предоставление участникам возможности проанализировать Самооценки национального потенциала (СОНП) для их соответствующих стран;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для тех стран, которые еще не завершили СОНП, – рассмотрение компонентов СОНП и определение ряда потребностей и приоритетов в отношении потенциала;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00" w:line="240" w:before="0"/>
        <w:ind w:left="720" w:hanging="359"/>
        <w:contextualSpacing w:val="1"/>
        <w:rPr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ознакомление с ПИФ для подготовки СОНП и понимание логики, лежащей в основе удачного проекта.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ab/>
      </w: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2.  Описание практического занятия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i w:val="1"/>
          <w:rtl w:val="0"/>
        </w:rPr>
        <w:t xml:space="preserve">Составление групп по странам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ab/>
        <w:t xml:space="preserve">В первой части занятия участники рассмотрят основные компоненты СОНП по каждой стране. В частности, они рассмотрят определенные в самооценке приоритеты, обсудят, какие из них остаются в силе, а какие должны быть пересмотрены, и предложат новые требования исходя из своего опыта (35 минут).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Результат: 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определение или пересмотр национальных приоритетов в отношении наращивания потенциала для охраны глобальной окружающей среды.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ab/>
        <w:t xml:space="preserve">На основе ПИФ и потребностей и приоритетов, определенных в ходе обзора СОНП, а также исходя из руководящих принципов Стратегии комплексного наращивания потенциала, участники определят предполагаемые результаты и итоги проекта по НП (таблицы A и B в ПИФ) и ожидаемую пользу для глобальной окружающей среды.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ab/>
        <w:t xml:space="preserve">Участники из стран (таких, как Буркина-Фасо), которые уже представили ПИФ Секретариату, будут рассматривать и корректировать ПИФ в соответствии с предыдущим абзацем или подготовят второй вариант.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Предполагается, что будут определены следующие элементы: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потребности потенциала, которые должны быть удовлетворены в результате реализации гипотетического проекта;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компоненты;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глобальные экологические выгоды, ожидаемые в результате реализации проекта;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предполагаемые цели.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(45 минут)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Презентации от трех рабочих групп, вопросы и ответы (25 минут).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Три группы представят результаты работы, проделанной страной, на пленарном заседании.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u w:val="single"/>
          <w:rtl w:val="0"/>
        </w:rPr>
        <w:t xml:space="preserve">Практическое занятие – вопросы: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1440" w:hanging="359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В чем заключаются первоочередные потребности страны в отношении потенциала, выявленные при проведении Самооценки потребностей?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ab/>
        <w:t xml:space="preserve">Выберите две или три первоочередные потребности, которые должны быть удовлетворены в результате реализации проекта.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1434" w:hanging="356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К каким целям Стратегии комплексного наращивания потенциала будет иметь отношение проект?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1440" w:hanging="359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Какие компоненты включает проект?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1434" w:hanging="356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Какую пользу для глобальной окружающей среды принесет проект?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u w:val="single"/>
          <w:rtl w:val="0"/>
        </w:rPr>
        <w:t xml:space="preserve">Справочные материалы и документы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rPr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Копия заключительных отчетов СОНП по осуществлению глобальных экологических конвенций, подготовленных по каждой стране.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rPr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Копия Стратегии комплексного наращивания потенциала для ГЭФ-5 (Стратегия КНП ГЭФ-5 на английском и французском языках)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120"/>
        <w:ind w:left="1434" w:hanging="356"/>
        <w:rPr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Примеры утвержденных ПИФ: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2160" w:hanging="359"/>
        <w:rPr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Бангладеш</w:t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Буркина-Фасо</w:t>
      </w:r>
    </w:p>
    <w:sectPr>
      <w:footerReference r:id="rId6" w:type="default"/>
      <w:pgSz w:w="12240" w:h="15840"/>
      <w:pgMar w:left="1588" w:right="1247" w:top="1418" w:bottom="141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</w:pPr>
    <w:fldSimple w:dirty="0" w:instr="PAGE" w:fldLock="0">
      <w:r w:rsidRPr="00000000" w:rsidR="00000000" w:rsidDel="00000000">
        <w:rPr>
          <w:rFonts w:cs="Calibri" w:hAnsi="Calibri" w:eastAsia="Calibri" w:ascii="Calibri"/>
          <w:sz w:val="22"/>
        </w:rPr>
      </w:r>
    </w:fldSimple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firstLine="0" w:right="360"/>
      <w:contextualSpacing w:val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rFonts w:cs="Arial" w:hAnsi="Arial" w:eastAsia="Arial" w:ascii="Arial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cs="Arial" w:hAnsi="Arial" w:eastAsia="Arial" w:ascii="Arial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cs="Arial" w:hAnsi="Arial" w:eastAsia="Arial" w:ascii="Arial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cs="Arial" w:hAnsi="Arial" w:eastAsia="Arial" w:ascii="Arial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cs="Arial" w:hAnsi="Arial" w:eastAsia="Arial" w:ascii="Arial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cs="Arial" w:hAnsi="Arial" w:eastAsia="Arial" w:ascii="Arial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cs="Arial" w:hAnsi="Arial" w:eastAsia="Arial" w:ascii="Arial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lef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lef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left"/>
      <w:pPr>
        <w:ind w:left="6480" w:firstLine="630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lef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lef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left"/>
      <w:pPr>
        <w:ind w:left="7200" w:firstLine="702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lef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lef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lef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line="360" w:before="240"/>
      <w:ind w:left="36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60" w:line="360" w:before="240"/>
      <w:ind w:left="360" w:firstLine="0" w:right="0"/>
      <w:jc w:val="left"/>
    </w:pPr>
    <w:rPr>
      <w:rFonts w:cs="Cambria" w:hAnsi="Cambria" w:eastAsia="Cambria" w:ascii="Cambria"/>
      <w:b w:val="1"/>
      <w:i w:val="1"/>
      <w:smallCaps w:val="0"/>
      <w:strike w:val="0"/>
      <w:color w:val="000000"/>
      <w:sz w:val="28"/>
      <w:u w:val="none"/>
      <w:vertAlign w:val="baseline"/>
    </w:rPr>
  </w:style>
  <w:style w:styleId="Heading3" w:type="paragraph">
    <w:name w:val="heading 3"/>
    <w:basedOn w:val="Normal"/>
    <w:next w:val="Normal"/>
    <w:pPr>
      <w:spacing w:lineRule="auto" w:after="60" w:line="360" w:before="240"/>
      <w:ind w:left="36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4" w:type="paragraph">
    <w:name w:val="heading 4"/>
    <w:basedOn w:val="Normal"/>
    <w:next w:val="Normal"/>
    <w:pPr>
      <w:spacing w:lineRule="auto" w:after="120" w:line="360" w:before="120"/>
      <w:ind w:left="117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8"/>
      <w:u w:val="none"/>
      <w:vertAlign w:val="baseline"/>
    </w:rPr>
  </w:style>
  <w:style w:styleId="Heading5" w:type="paragraph">
    <w:name w:val="heading 5"/>
    <w:basedOn w:val="Normal"/>
    <w:next w:val="Normal"/>
    <w:pPr>
      <w:spacing w:lineRule="auto" w:after="120" w:line="360" w:before="120"/>
      <w:ind w:left="360" w:firstLine="0" w:right="0"/>
      <w:jc w:val="left"/>
    </w:pPr>
    <w:rPr>
      <w:rFonts w:cs="Calibri" w:hAnsi="Calibri" w:eastAsia="Calibri" w:ascii="Calibri"/>
      <w:b w:val="0"/>
      <w:i w:val="1"/>
      <w:smallCaps w:val="0"/>
      <w:strike w:val="0"/>
      <w:color w:val="000000"/>
      <w:sz w:val="26"/>
      <w:u w:val="none"/>
      <w:vertAlign w:val="baseline"/>
    </w:rPr>
  </w:style>
  <w:style w:styleId="Heading6" w:type="paragraph">
    <w:name w:val="heading 6"/>
    <w:basedOn w:val="Normal"/>
    <w:next w:val="Normal"/>
    <w:pPr>
      <w:spacing w:lineRule="auto" w:after="120" w:line="360" w:before="120"/>
      <w:ind w:left="360" w:firstLine="0" w:right="0"/>
      <w:jc w:val="both"/>
    </w:pPr>
    <w:rPr>
      <w:rFonts w:cs="Calibri" w:hAnsi="Calibri" w:eastAsia="Calibri" w:ascii="Calibri"/>
      <w:b w:val="1"/>
      <w:i w:val="0"/>
      <w:smallCaps w:val="0"/>
      <w:strike w:val="0"/>
      <w:color w:val="000000"/>
      <w:sz w:val="20"/>
      <w:u w:val="none"/>
      <w:vertAlign w:val="baseline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 Instructions for Capacity Development exercise RU.docx</dc:title>
</cp:coreProperties>
</file>